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664" w:topFromText="0" w:vertAnchor="page"/>
        <w:tblW w:w="1049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16"/>
        <w:gridCol w:w="9074"/>
      </w:tblGrid>
      <w:tr>
        <w:trPr>
          <w:trHeight w:val="343" w:hRule="atLeast"/>
        </w:trPr>
        <w:tc>
          <w:tcPr>
            <w:tcW w:w="1049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ПОДРОБНЫЕ УСЛОВИЯ ПРЕДОСТАВЛЕНИЯ СУБСИДИЙ ОТДЕЛЬНЫМ КАТЕГОРИЯМ ГРАЖДАН  НА ПОКУПКУ И УСТАНОВКУ ГАЗОИСПОЛЬЗУЮЩЕГО ОБОРУДОВАНИЯ И ПРОВЕДЕНИЕ РАБОТ ВНУТРИ ГРАНИЦ ЗЕМЕЛЬНЫХ УЧАСТКОВ В РАМКАХ РЕАЛИЗАЦИИ  МЕРОПРИЯТИЙ  ПРИ ДОГАЗИФИКАЦИИ 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rPr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Кто может иметь право:</w:t>
            </w:r>
          </w:p>
        </w:tc>
        <w:tc>
          <w:tcPr>
            <w:tcW w:w="9074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участники Великой Отечественной войны, инвалиды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 xml:space="preserve">войны,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ветераны боевых действий, члены семей погибших (умерших) инвалидов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войны, участников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Великой Отечественной войны,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ветеранов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боевых действий, статус которых подтвержден в соответствии с Федеральным законом от 12.01.1995 № 5-ФЗ «О ветеранах» и иными нормативными актами Российской Федерации;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многодетные семьи, статус которым установлен в соответствии с Законом Приморского края от 23.11.2018 № 392-КЗ «О социальной поддержке многодетных семей, проживающих на территории Приморского края»;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малоимущие граждане, в том числе малоимущие семьи с детьми, - семьи или одиноко проживающие граждане, имеющие среднедушевой доход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год.</w:t>
            </w:r>
          </w:p>
        </w:tc>
      </w:tr>
      <w:tr>
        <w:trPr>
          <w:trHeight w:val="1313" w:hRule="atLeast"/>
        </w:trPr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rPr>
                <w:sz w:val="15"/>
                <w:szCs w:val="15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  <w:t xml:space="preserve">Условия </w:t>
            </w: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 xml:space="preserve">предоставления 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  <w:t>субсидий в рамках мероприятий по догазификации</w:t>
            </w: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:</w:t>
            </w:r>
          </w:p>
        </w:tc>
        <w:tc>
          <w:tcPr>
            <w:tcW w:w="907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334"/>
              <w:contextualSpacing/>
              <w:jc w:val="both"/>
              <w:rPr/>
            </w:pP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наличие домовладения, принадлежащего гражданину на праве собственности или ином предусмотренном законом праве;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334"/>
              <w:contextualSpacing/>
              <w:jc w:val="both"/>
              <w:rPr/>
            </w:pP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использование газа для удовлетворения личных, семейных, домашних и иных нужд, не связанных с осуществлением предпринимательской (профессиональной) деятельности;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334"/>
              <w:contextualSpacing/>
              <w:jc w:val="both"/>
              <w:rPr/>
            </w:pP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выполнение мероприятий в рамках подключения (технологического присоединения) до границ земельного участка, принадлежащего гражданину на праве собственности или ином предусмотренном законом праве;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334"/>
              <w:contextualSpacing/>
              <w:jc w:val="both"/>
              <w:rPr/>
            </w:pP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заключение </w:t>
            </w:r>
            <w:r>
              <w:rPr>
                <w:rStyle w:val="Fontstyle01"/>
                <w:rFonts w:eastAsia="Calibri" w:cs="" w:ascii="TimesNewRomanPSMT" w:hAnsi="TimesNewRomanPSMT"/>
                <w:b/>
                <w:bCs/>
                <w:kern w:val="0"/>
                <w:sz w:val="14"/>
                <w:szCs w:val="14"/>
                <w:lang w:val="ru-RU" w:eastAsia="en-US" w:bidi="ar-SA"/>
              </w:rPr>
              <w:t xml:space="preserve">с </w:t>
            </w:r>
            <w:r>
              <w:rPr>
                <w:rStyle w:val="Fontstyle01"/>
                <w:rFonts w:eastAsia="Calibri" w:cs="" w:ascii="TimesNewRomanPSMT" w:hAnsi="TimesNewRomanPSMT"/>
                <w:b/>
                <w:bCs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АО «Газпром газораспределение Дальний Восток»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kern w:val="0"/>
                <w:sz w:val="14"/>
                <w:szCs w:val="14"/>
                <w:lang w:val="ru-RU" w:eastAsia="en-US" w:bidi="ar-SA"/>
              </w:rPr>
              <w:t>после 31.12.2022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 договора о подключении (технологическом присоединении) газоиспользующего оборудования к сети газораспределения в рамках догазификации, 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либо дополнительного соглашения к договору о подключении (технологическом присоединении) газоиспользующего оборудования, заключенному до 31.12.2022, 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предусматривающего осуществление мероприятий по подключению (технологическому присоединению) </w:t>
            </w:r>
            <w:r>
              <w:rPr>
                <w:rStyle w:val="Fontstyle01"/>
                <w:rFonts w:eastAsia="Calibri" w:cs="" w:ascii="TimesNewRomanPSMT" w:hAnsi="TimesNewRomanPSMT"/>
                <w:b/>
                <w:bCs/>
                <w:kern w:val="0"/>
                <w:sz w:val="14"/>
                <w:szCs w:val="14"/>
                <w:lang w:val="ru-RU" w:eastAsia="en-US" w:bidi="ar-SA"/>
              </w:rPr>
              <w:t>в пределах границ земельного участка гражданина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      </w:r>
          </w:p>
        </w:tc>
      </w:tr>
      <w:tr>
        <w:trPr>
          <w:trHeight w:val="98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  <w:t>Размер субсидии в рамках догазификации:</w:t>
            </w:r>
          </w:p>
        </w:tc>
        <w:tc>
          <w:tcPr>
            <w:tcW w:w="907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заключенном договоре о подключении, </w:t>
            </w:r>
            <w:r>
              <w:rPr>
                <w:rStyle w:val="Fontstyle01"/>
                <w:rFonts w:eastAsia="Calibri" w:cs=""/>
                <w:b/>
                <w:bCs/>
                <w:kern w:val="0"/>
                <w:sz w:val="14"/>
                <w:szCs w:val="14"/>
                <w:lang w:val="ru-RU" w:eastAsia="en-US" w:bidi="ar-SA"/>
              </w:rPr>
              <w:t>но не более 100000 рублей в отношении одного домовладения однократно.</w:t>
            </w:r>
          </w:p>
        </w:tc>
      </w:tr>
      <w:tr>
        <w:trPr>
          <w:trHeight w:val="1313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  <w:t>На какие затраты может быть предоставлена субсидия в рамках догазификации:</w:t>
            </w:r>
          </w:p>
        </w:tc>
        <w:tc>
          <w:tcPr>
            <w:tcW w:w="907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33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расходы на 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33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расходы на 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 работ, проведение контрольной опрессовки газопровода.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К газоиспользующему оборудованию, затраты на покупку и установку которого могут компенсироваться за счет средств субсидии, относится: -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счетчики газа (прибор учета газа), - газовый водонагреватель; - произведенные на территории РФ: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котел (газовый двухконтурный или одноконтурный напольный котел, газовый двухконтурный или одноконтурный настенный котел);  газов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ая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плит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а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, газов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ая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варочн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ая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панель; колонк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а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(или бойлер косвенного нагрева), систем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а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контроля загазованности; - 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      </w:r>
          </w:p>
        </w:tc>
      </w:tr>
      <w:tr>
        <w:trPr>
          <w:trHeight w:val="1200" w:hRule="atLeast"/>
        </w:trPr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  <w:t>Алгоритм действий для получения субсидии в рамках догазификации:</w:t>
            </w:r>
          </w:p>
        </w:tc>
        <w:tc>
          <w:tcPr>
            <w:tcW w:w="9074" w:type="dxa"/>
            <w:tcBorders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1) 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заявитель заключает договор о подключении (технологическом присоединении) газоиспользующего оборудования к сети газораспределения с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АО «Газпром газораспределение Дальний Восток»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2) через отделение МФЦ заявитель подает заявление установленной формы о </w:t>
            </w:r>
            <w:r>
              <w:rPr>
                <w:rStyle w:val="Fontstyle01"/>
                <w:rFonts w:eastAsia="Calibri" w:cs=""/>
                <w:b w:val="false"/>
                <w:bCs w:val="false"/>
                <w:kern w:val="0"/>
                <w:sz w:val="14"/>
                <w:szCs w:val="14"/>
                <w:lang w:val="ru-RU" w:eastAsia="en-US" w:bidi="ar-SA"/>
              </w:rPr>
              <w:t xml:space="preserve">предоставлении субсидии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с приложением следующих документов: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18" w:firstLine="242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документ, удостоверяющий личность гражданина Р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Ф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(при подаче заявления заявителем) либо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д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окумент, удостоверяющий личность гражданина Р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 xml:space="preserve">Ф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и документ, подтверждающий полномочия (в случае обращения уполномоченного представителя);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4" w:firstLine="28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удостоверение, подтверждающее право заявителя на предоставление мер социальной поддержки (для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 xml:space="preserve">льготных категорий граждан,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статус которых подтвержден в соответствии с Федеральным законом от 12.01.1995 № 5-ФЗ «О ветеранах» и многодетных семей)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в случае, если документ выдан органами, осуществляющими полномочия на территории других субъектов РФ или выдан до 01.09.2005 органом, осуществляющим полномочия на территории Приморского края;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4" w:firstLine="28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документы, подтверждающие доходы заявителя и каждого члена его семьи за три последних месяца, предшествующих месяцу обращения (для малоимущих граждан и малоимущих семей), при этом сведения о размере пенсии, компенсационных выплати ежемесячных доплат к пенсии, пособия по безработице, материальной помощи и иных выплат безработным гражданам, ежемесячных, ежеквартальных и ежегодных выплат, а также компенсационных выплат льготным категориям граждан, ежемесячной денежной выплаты на оплату жилищно-коммунальных услуг, субсидии на оплату жилого помещения и коммунальных услуг могут быть представлены по собственной инициативе;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4" w:firstLine="28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документ, подтверждающий право собственности на жилой дом в случае, если право собственности на жилой дом не зарегистрировано в Едином государственном реестре недвижимости;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4" w:firstLine="28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договор о подключении 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газоиспользующего оборудования к сети газораспределения в рамках догазификации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4" w:firstLine="284"/>
              <w:contextualSpacing/>
              <w:jc w:val="both"/>
              <w:rPr/>
            </w:pP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согласия на обработку персональных данных лиц,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не являющихся заявителями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3)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АО «Газпром газораспределение Дальний Восток»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 xml:space="preserve"> выполняет работы (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оказывает услуги</w:t>
            </w: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), согласно заключенному договору;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rFonts w:eastAsia="Calibri" w:cs="" w:ascii="TimesNewRomanPSMT" w:hAnsi="TimesNewRomanPSMT"/>
                <w:kern w:val="0"/>
                <w:sz w:val="14"/>
                <w:szCs w:val="14"/>
                <w:lang w:val="ru-RU" w:eastAsia="en-US" w:bidi="ar-SA"/>
              </w:rPr>
              <w:t>4)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на основании принятого решения о </w:t>
            </w:r>
            <w:r>
              <w:rPr>
                <w:rStyle w:val="Fontstyle01"/>
                <w:rFonts w:eastAsia="Calibri" w:cs="" w:ascii="TimesNewRomanPSMT" w:hAnsi="TimesNewRomanPSMT"/>
                <w:b w:val="false"/>
                <w:bCs w:val="false"/>
                <w:i w:val="false"/>
                <w:iCs w:val="false"/>
                <w:color w:val="000000"/>
                <w:kern w:val="0"/>
                <w:sz w:val="14"/>
                <w:szCs w:val="14"/>
                <w:lang w:val="ru-RU" w:eastAsia="en-US" w:bidi="ar-SA"/>
              </w:rPr>
              <w:t>предоставлении субсидии по догазификации органы социальной защиты населения перечисляют денежные средства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Style w:val="Fontstyle01"/>
                <w:rFonts w:eastAsia="Calibri" w:cs=""/>
                <w:b w:val="false"/>
                <w:bCs w:val="false"/>
                <w:kern w:val="0"/>
                <w:sz w:val="14"/>
                <w:szCs w:val="14"/>
                <w:lang w:val="ru-RU" w:eastAsia="en-US" w:bidi="ar-SA"/>
              </w:rPr>
              <w:t xml:space="preserve">на расчетный счет газораспределительной организации, выполнившей работы </w:t>
            </w:r>
            <w:r>
              <w:rPr>
                <w:rStyle w:val="Fontstyle01"/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(оказавшей услуги), открытый в кредитных организациях.</w:t>
            </w:r>
          </w:p>
        </w:tc>
      </w:tr>
      <w:tr>
        <w:trPr>
          <w:trHeight w:val="434" w:hRule="atLeast"/>
        </w:trPr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5"/>
                <w:szCs w:val="15"/>
                <w:lang w:val="ru-RU" w:eastAsia="en-US" w:bidi="ar-SA"/>
              </w:rPr>
              <w:t>Как подать заявление:</w:t>
            </w:r>
          </w:p>
        </w:tc>
        <w:tc>
          <w:tcPr>
            <w:tcW w:w="9074" w:type="dxa"/>
            <w:tcBorders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bCs/>
                <w:sz w:val="14"/>
                <w:szCs w:val="14"/>
              </w:rPr>
              <w:t xml:space="preserve">Через </w:t>
            </w:r>
            <w:r>
              <w:rPr>
                <w:rStyle w:val="Fontstyle01"/>
                <w:sz w:val="14"/>
                <w:szCs w:val="14"/>
              </w:rPr>
              <w:t>отделения МФЦ</w:t>
            </w:r>
            <w:r>
              <w:rPr>
                <w:rStyle w:val="Fontstyle01"/>
                <w:bCs/>
                <w:sz w:val="14"/>
                <w:szCs w:val="14"/>
              </w:rPr>
              <w:t>, информацию о месте расположения и графике</w:t>
            </w:r>
            <w:r>
              <w:rPr>
                <w:rStyle w:val="Fontstyle01"/>
                <w:sz w:val="14"/>
                <w:szCs w:val="14"/>
              </w:rPr>
              <w:t xml:space="preserve"> </w:t>
            </w:r>
            <w:r>
              <w:rPr>
                <w:rStyle w:val="Fontstyle01"/>
                <w:bCs/>
                <w:sz w:val="14"/>
                <w:szCs w:val="14"/>
              </w:rPr>
              <w:t xml:space="preserve">работы можно получить по телефону: </w:t>
            </w:r>
            <w:r>
              <w:rPr>
                <w:rStyle w:val="Fontstyle01"/>
                <w:b w:val="false"/>
                <w:bCs w:val="false"/>
                <w:sz w:val="14"/>
                <w:szCs w:val="14"/>
              </w:rPr>
              <w:t>8(423)222-11-11</w:t>
            </w:r>
            <w:r>
              <w:rPr>
                <w:rStyle w:val="Fontstyle01"/>
                <w:bCs/>
                <w:sz w:val="14"/>
                <w:szCs w:val="1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hanging="0"/>
              <w:contextualSpacing/>
              <w:jc w:val="both"/>
              <w:rPr/>
            </w:pPr>
            <w:r>
              <w:rPr>
                <w:rStyle w:val="Fontstyle01"/>
                <w:bCs/>
                <w:sz w:val="14"/>
                <w:szCs w:val="14"/>
              </w:rPr>
              <w:t>или на официальном сайте mfc-25.ru; д</w:t>
            </w:r>
            <w:r>
              <w:rPr>
                <w:rStyle w:val="Fontstyle01"/>
                <w:sz w:val="14"/>
                <w:szCs w:val="14"/>
              </w:rPr>
              <w:t>оступна предварительная запись.</w:t>
            </w:r>
          </w:p>
        </w:tc>
      </w:tr>
      <w:tr>
        <w:trPr>
          <w:trHeight w:val="235" w:hRule="atLeast"/>
        </w:trPr>
        <w:tc>
          <w:tcPr>
            <w:tcW w:w="1049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01"/>
                <w:sz w:val="14"/>
                <w:szCs w:val="14"/>
              </w:rPr>
              <w:t>Для получения дополнительной информации Вы можете обратиться по телефону горячей линии:</w:t>
            </w:r>
            <w:r>
              <w:rPr>
                <w:rStyle w:val="Fontstyle01"/>
                <w:b w:val="false"/>
                <w:bCs w:val="false"/>
                <w:sz w:val="14"/>
                <w:szCs w:val="14"/>
              </w:rPr>
              <w:t xml:space="preserve"> 8(800) 302-21-45</w:t>
            </w:r>
          </w:p>
        </w:tc>
      </w:tr>
    </w:tbl>
    <w:p>
      <w:pPr>
        <w:pStyle w:val="Normal"/>
        <w:tabs>
          <w:tab w:val="clear" w:pos="708"/>
          <w:tab w:val="left" w:pos="2835" w:leader="none"/>
        </w:tabs>
        <w:spacing w:before="0" w:after="200"/>
        <w:rPr/>
      </w:pPr>
      <w:r>
        <w:rPr/>
      </w:r>
    </w:p>
    <w:sectPr>
      <w:type w:val="continuous"/>
      <w:pgSz w:w="11906" w:h="16838"/>
      <w:pgMar w:left="720" w:right="720" w:header="0" w:top="170" w:footer="0" w:bottom="17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NewRomanPSMT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71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7c4e6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c4e6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Fontstyle01" w:customStyle="1">
    <w:name w:val="fontstyle01"/>
    <w:basedOn w:val="DefaultParagraphFont"/>
    <w:qFormat/>
    <w:rsid w:val="007c4e65"/>
    <w:rPr>
      <w:rFonts w:ascii="TimesNewRomanPSMT" w:hAnsi="TimesNewRomanPSMT"/>
      <w:b w:val="false"/>
      <w:bCs w:val="false"/>
      <w:i w:val="false"/>
      <w:iCs w:val="false"/>
      <w:color w:val="000000"/>
      <w:sz w:val="32"/>
      <w:szCs w:val="32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7c4e6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09f9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8"/>
    <w:uiPriority w:val="99"/>
    <w:semiHidden/>
    <w:qFormat/>
    <w:rsid w:val="003909f9"/>
    <w:rPr>
      <w:sz w:val="20"/>
      <w:szCs w:val="20"/>
    </w:rPr>
  </w:style>
  <w:style w:type="character" w:styleId="Style15" w:customStyle="1">
    <w:name w:val="Тема примечания Знак"/>
    <w:basedOn w:val="Style14"/>
    <w:link w:val="aa"/>
    <w:uiPriority w:val="99"/>
    <w:semiHidden/>
    <w:qFormat/>
    <w:rsid w:val="003909f9"/>
    <w:rPr>
      <w:b/>
      <w:bCs/>
      <w:sz w:val="20"/>
      <w:szCs w:val="20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ListParagraph">
    <w:name w:val="List Paragraph"/>
    <w:basedOn w:val="Normal"/>
    <w:uiPriority w:val="34"/>
    <w:qFormat/>
    <w:rsid w:val="007c4e6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c4e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3909f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3909f9"/>
    <w:pPr/>
    <w:rPr>
      <w:b/>
      <w:bCs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e6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D45F-322E-404A-BB3E-AACE6755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Application>LibreOffice/6.4.7.2$Linux_X86_64 LibreOffice_project/40$Build-2</Application>
  <Pages>1</Pages>
  <Words>915</Words>
  <Characters>6982</Characters>
  <CharactersWithSpaces>7857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2022-10-31T04:44:00Z</dcterms:created>
  <dc:creator>Смирнов М.Г.</dc:creator>
  <dc:description/>
  <dc:language>ru-RU</dc:language>
  <cp:lastModifiedBy>Дмитрий Сергеевич Михалько</cp:lastModifiedBy>
  <cp:lastPrinted>2023-06-23T09:56:31Z</cp:lastPrinted>
  <dcterms:modified xsi:type="dcterms:W3CDTF">2023-12-12T14:27:28Z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