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108" w:after="108"/>
        <w:rPr/>
      </w:pPr>
      <w:r>
        <w:rPr/>
        <w:t>Региональный перечень</w:t>
        <w:br/>
        <w:t>технических средств реабилитации, не входящих в федеральный перечень реабилитационных мероприятий, технических средств реабилитации и услуг, предоставляемых инвалиду</w:t>
      </w:r>
    </w:p>
    <w:p>
      <w:pPr>
        <w:pStyle w:val="Style25"/>
        <w:suppressAutoHyphens w:val="false"/>
        <w:bidi w:val="0"/>
        <w:spacing w:before="0" w:after="0"/>
        <w:ind w:firstLine="720"/>
        <w:jc w:val="both"/>
        <w:rPr/>
      </w:pPr>
      <w:r>
        <w:rPr/>
        <w:t>С изменениями и дополнениями от:</w:t>
      </w:r>
    </w:p>
    <w:p>
      <w:pPr>
        <w:pStyle w:val="Style23"/>
        <w:bidi w:val="0"/>
        <w:rPr>
          <w:shd w:fill="EAEFED" w:val="clear"/>
        </w:rPr>
      </w:pPr>
      <w:r>
        <w:rPr/>
        <w:t xml:space="preserve"> </w:t>
      </w:r>
      <w:r>
        <w:rPr>
          <w:shd w:fill="EAEFED" w:val="clear"/>
        </w:rPr>
        <w:t>26 сентября 2025 г., 6 августа 2026 г.</w:t>
      </w:r>
    </w:p>
    <w:p>
      <w:pPr>
        <w:pStyle w:val="Normal"/>
        <w:bidi w:val="0"/>
        <w:rPr>
          <w:rStyle w:val="Style15"/>
        </w:rPr>
      </w:pPr>
      <w:r>
        <w:rPr/>
      </w:r>
    </w:p>
    <w:tbl>
      <w:tblPr>
        <w:tblW w:w="15246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56"/>
        <w:gridCol w:w="1890"/>
        <w:gridCol w:w="2519"/>
        <w:gridCol w:w="2773"/>
        <w:gridCol w:w="2017"/>
        <w:gridCol w:w="2016"/>
        <w:gridCol w:w="1639"/>
        <w:gridCol w:w="1634"/>
      </w:tblGrid>
      <w:tr>
        <w:trPr/>
        <w:tc>
          <w:tcPr>
            <w:tcW w:w="7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N п/п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Наименование технического средства реабилитации</w:t>
            </w:r>
          </w:p>
        </w:tc>
        <w:tc>
          <w:tcPr>
            <w:tcW w:w="52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Медицинские и социальные показания для обеспечения инвалидов техническими средствами реабилитации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Медицинские противопоказания для обеспечения инвалидов техническими средствами реабилитации (являются основанием для подбора иного показанного технического средства реабилитации)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Сроки эксплуатации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Предельный размер компенсации (руб.)</w:t>
            </w:r>
          </w:p>
        </w:tc>
      </w:tr>
      <w:tr>
        <w:trPr/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для инвалидов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для детей-инвалидов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для инвалидов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для детей-инвалидов</w:t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3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5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8</w:t>
            </w:r>
          </w:p>
        </w:tc>
      </w:tr>
      <w:tr>
        <w:trPr/>
        <w:tc>
          <w:tcPr>
            <w:tcW w:w="1524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tabs>
                <w:tab w:val="clear" w:pos="720"/>
              </w:tabs>
              <w:bidi w:val="0"/>
              <w:spacing w:before="108" w:after="108"/>
              <w:rPr/>
            </w:pPr>
            <w:r>
              <w:rPr>
                <w:sz w:val="22"/>
              </w:rPr>
              <w:t>ВСПОМОГАТЕЛЬНЫЕ СРЕДСТВА КОММУНИКАЦИИ И ИНФОРМАЦИОННОГО ОБЕСПЕЧЕНИЯ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Планшет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III-IV степени (на одно ухо) и глухоты (на другое), вызывающие необходимость использовать приемы русского жестового языка (в том числе при сохранной устной речи); при возможности формирования навыков пользования компьютером, работы в информационно-телекоммуникационной сети Интернет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III-IV степени (на одно ухо) и глухоты (на другое), вызывающие необходимость использовать приемы русского жестового языка (в том числе при сохранной устной речи); при возможности формирования навыков пользования компьютером, работы в информационно-телекоммуникационной сети Интернет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трех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20 083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Диктофон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выраженные и значительно выраженные нарушения сенсорных функций (зрения), слабовидение (острота зрения единственного или лучше видящего глаза: до 0,1 с коррекцией) с учетом возможности осознанного использования полученной информации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выраженные и значительно выраженные нарушения сенсорных функций (зрения), слабовидение (острота зрения единственного или лучше видящего глаза: до 0,1 с коррекцией) с учетом возможности осознанного использования полученной информации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относительные медицинские противопоказания: глухота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относительные медицинские противопоказания: глухота; возраст менее 7 лет (с учетом формирования навыков и умений в соответствии с биологическим возрастом)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семи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13 710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3.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Индуктор заушный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умеренные, выраженные нарушения языковых и речевых функций (дефекты речи) в сочетании с нарушениями сенсорных функций (слуха); 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умеренные, выраженные нарушения языковых и речевых функций (дефекты речи) в сочетании с нарушениями сенсорных функций (слуха) I, II степени - у детей; 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двух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1 963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4.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Наушники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32 154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5.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Аудио-, стереоусилитель звука с Bluetooth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двух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13 719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6.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Персональный звуковой кабель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двух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6 935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7.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Аккумулятор для звукового (речевого) процессора кохлеарных имплантов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двусторонняя тугоухость III, IV степени, двусторонняя глухота, сочетание тугоухости III - IV степени (на одно ухо) и глухоты (на другое)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двух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23 533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8.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Ноутбук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(зрения) единственного или лучше видящего глаза IV степени (абсолютная или практическая слепота: острота зрения 0 - 0,04 или/и концентрическое сужение поля зрения до 10 градусов) с учетом возможности осознанного использования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(зрения) единственного или лучше видящего глаза IV степени (абсолютная или практическая слепота: острота зрения 0 - 0,04 или/и концентрическое сужение поля зрения до 10 градусов) с учетом возможности осознанного использования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относительные медицинские противопоказания: значительно выраженные нарушения статики и координации движений (гиперкинетические, атактические нарушения); стойкие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относительные медицинские противопоказания: значительно выраженные нарушения статики и координации движений (гиперкинетические, атактические нарушения); стойкие значительно выраженные нарушения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118 382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9.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Цифровой маркер-диктофон / тифломаркер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(зрения) единственного или лучше видящего глаза III степени (высокая степень слабовидения: острота зрения 0,05-0,1 или/и концентрическое сужение поля зрения до 20 градусов) или IV степени (абсолютная или практическая слепота: острота зрения 0-0,04 или/и концентрическое сужение поля зрения до 10 градусов)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(зрения) единственного или лучше видящего глаза III степени (высокая степень слабовидения: острота зрения 0,05-0,1 или/и концентрическое сужение поля зрения до 20 градусов) или IV степени (абсолютная или практическая слепота: острота зрения 0-0,04 или/и концентрическое сужение поля зрения до 10 градусов)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11 033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10.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Индикатор жидкости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единственного или лучше видящего глаза IV степени (абсолютная или практическая слепота: острота зрения 0 - 0,04 или/и концентрическое сужение поля зрения до 10 градусов), с учетом возможности осознанного использования полученной информации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единственного или лучше видящего глаза IV степени (абсолютная или практическая слепота: острота зрения 0 - 0,04 или/и концентрическое сужение поля зрения до 10 градусов), с учетом возможности осознанного использования полученной информации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трех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2 324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11.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Подставки для книг и книгодержатели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все категории детей-инвалидов вне зависимости от вида инвалидизирующей патологии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2 499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12.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Устройство отслеживания взгляда (Eye-traker) для использования функции управления глазами при работе с персональным компьютером/ ноутбуком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значительно выраженные нарушения нейромышечных, скелетных и связанных с движением (статодинамических) функций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значительно выраженные нарушения нейромышечных, скелетных и связанных с движением (статодинамических) функций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овладении навыками письма и чтения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167 000</w:t>
            </w:r>
          </w:p>
        </w:tc>
      </w:tr>
      <w:tr>
        <w:trPr/>
        <w:tc>
          <w:tcPr>
            <w:tcW w:w="1524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tabs>
                <w:tab w:val="clear" w:pos="720"/>
              </w:tabs>
              <w:bidi w:val="0"/>
              <w:spacing w:before="108" w:after="108"/>
              <w:rPr/>
            </w:pPr>
            <w:r>
              <w:rPr>
                <w:sz w:val="22"/>
              </w:rPr>
              <w:t>ВСПОМОГАТЕЛЬНЫЕ СРЕДСТВА ДЛЯ КОНТРОЛЯ И ОЦЕНКИ ЭЛЕМЕНТОВ (ФАКТОРОВ) ОКРУЖАЮЩЕЙ СРЕДЫ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13.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Прибор для распознавания цвета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единственного или лучше видящего глаза IV степени (абсолютная или практическая слепота: острота зрения 0 - 0,04 или/и концентрическое сужение поля зрения до 10 градусов), с учетом возможности осознанного использования полученной информации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нарушения сенсорных функций единственного или лучше видящего глаза IV степени (абсолютная или практическая слепота: острота зрения 0 - 0,04 или/и концентрическое сужение поля зрения до 10 градусов), с учетом возможности осознанного использования полученной информации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  <w:t>возраст менее 7 лет;</w:t>
            </w:r>
          </w:p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одного года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13 657</w:t>
            </w:r>
          </w:p>
        </w:tc>
      </w:tr>
      <w:tr>
        <w:trPr/>
        <w:tc>
          <w:tcPr>
            <w:tcW w:w="1524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tabs>
                <w:tab w:val="clear" w:pos="720"/>
              </w:tabs>
              <w:bidi w:val="0"/>
              <w:spacing w:before="108" w:after="108"/>
              <w:rPr/>
            </w:pPr>
            <w:r>
              <w:rPr>
                <w:sz w:val="22"/>
              </w:rPr>
              <w:t>ВСПОМОГАТЕЛЬНЫЕ СРЕДСТВА ДЛЯ ОСУЩЕСТВЛЕНИЯ ДЕЯТЕЛЬНОСТИ, СВЯЗАННОЙ С ЛИЧНОЙ (ПЕРСОНАЛЬНОЙ) МОБИЛЬНОСТЬЮ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14.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Пояса для подъема и ремни безопасности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инвалиды, нуждающиеся в постороннем уходе, со стойкими, значительно выраженными нарушениями нейромышечных, скелетных и связанных с движением (статодинамических) функций, функции сердечно-сосудистой системы, дыхательной системы, пищеварительной, эндокринной системы и метаболизма, системы крови и иммунной системы, мочевыделительной функции, функции кожи и связанных с ней систем, психических функций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дети-инвалиды, нуждающиеся в постороннем уходе, со стойкими, значительно выраженными нарушениями нейромышечных, скелетных и связанных с движением (статодинамических) функций, функции сердечно-сосудистой системы, дыхательной системы, пищеварительной, эндокринной системы и метаболизма, системы крови и иммунной системы, мочевыделительной функции, функции кожи и связанных с ней систем, психических функций, приводящие к необходимости пользования креслом-коляской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двух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4 355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15.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Подъемник бытовой для подъема и перемещения человека внутри помещений, в т.ч. стационарные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значительно выраженные нарушения нейромышечных, скелетных и связанных с движением (статодинамических) функций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необходимости использования кресел-колясок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значительно выраженные нарушения нейромышечных, скелетных и связанных с движением (статодинамических) функций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необходимости использования кресел-колясок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семи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163 500</w:t>
            </w:r>
          </w:p>
        </w:tc>
      </w:tr>
      <w:tr>
        <w:trPr/>
        <w:tc>
          <w:tcPr>
            <w:tcW w:w="1524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tabs>
                <w:tab w:val="clear" w:pos="720"/>
              </w:tabs>
              <w:bidi w:val="0"/>
              <w:spacing w:before="108" w:after="108"/>
              <w:rPr/>
            </w:pPr>
            <w:r>
              <w:rPr>
                <w:sz w:val="22"/>
              </w:rPr>
              <w:t>МЕБЕЛЬ, ПРИСПОСОБЛЕНИЯ И ДРУГИЕ ВСПОМОГАТЕЛЬНЫЕ СРЕДСТВА ДЛЯ ПОДДЕРЖАНИЯ ЖИЗНЕДЕЯТЕЛЬНОСТИ В СОЗДАННОЙ ЧЕЛОВЕКОМ ВНУТРЕННЕЙ И ВНЕШНЕЙ СРЕДЕ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16.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Столик с регулируемым углом наклона/высоты приставной для кровати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функций, функции сердечно-сосудистой системы, дыхательной системы, пищеварительной, эндокринной и метаболизма, системы крови и иммунной системы, мочевыделительной функции, функции кожи и связанных с ней систем, психических функций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функций, функции сердечно-сосудистой системы, дыхательной системы, пищеварительной, эндокринной и метаболизма, системы крови и иммунной системы, мочевыделительной функции, функции кожи и связанных с ней систем, психических функций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заболевания, приводящие к прогрессированию патологического процесса в положении сидя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заболевания, приводящие к прогрессированию патологического процесса в положении сидя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семи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9 561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17.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Опора для спины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функций, функции сердечно-сосудистой системы, дыхательной системы, пищеварительной, эндокринной и метаболизма, системы крови и иммунной системы, мочевыделительной функции, функции кожи и связанных с ней систем, психических функций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функций, функции сердечно-сосудистой системы, дыхательной системы, пищеварительной, эндокринной и метаболизма, системы крови и иммунной системы, мочевыделительной функции, функции кожи и связанных с ней систем, психических функций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4 995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18.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Лестничные подъемники с сиденьем или платформы для кресел-колясок, в т.ч. стационарные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значительно выраженные нарушения нейромышечных, скелетных и связанных с движением (статодинамических) функций верхних конечностей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необходимости использования кресел-колясок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значительно выраженные нарушения нейромышечных, скелетных и связанных с движением (статодинамических) функций верхних конечностей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необходимости использования кресел-колясок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семи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298 450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19.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Пандус накладной, в т.ч. телескопический / портативный / складной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 нарушения нейромышечных, скелетных и связанных с движением (статодинамических) функций верхних конечностей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необходимости использования кресел-колясок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 нарушения нейромышечных, скелетных и связанных с движением (статодинамических) функций верхних конечностей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необходимости использования кресел-колясок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семи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26 300</w:t>
            </w:r>
          </w:p>
        </w:tc>
      </w:tr>
      <w:tr>
        <w:trPr/>
        <w:tc>
          <w:tcPr>
            <w:tcW w:w="1524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tabs>
                <w:tab w:val="clear" w:pos="720"/>
              </w:tabs>
              <w:bidi w:val="0"/>
              <w:spacing w:before="108" w:after="108"/>
              <w:rPr/>
            </w:pPr>
            <w:r>
              <w:rPr>
                <w:sz w:val="22"/>
              </w:rPr>
              <w:t>ВСПОМОГАТЕЛЬНЫЕ СРЕДСТВА ДЛЯ УХОДА ЗА СОБОЙ И САМООБСЛУЖИВАНИЯ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20.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Кресло для ванны или душа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функций; стойкие значительно выраженные нарушения нейромышечных, скелетных и связанных с движением (статодинамических) функции вследствие нарушений функций сердечно-сосудистой системы, дыхательной системы, пищеварительной, эндокринной и метаболизма, системы крови и иммунной системы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функций; стойкие значительно выраженные нарушения нейромышечных, скелетных и связанных с движением (статодинамических) функции вследствие нарушений функций сердечно-сосудистой системы, дыхательной системы, пищеварительной, эндокринной и метаболизма, системы крови и иммунной системы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заболевания, приводящие к прогрессированию патологического процесса в положении сидя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заболевания, приводящие к прогрессированию патологического процесса в положении сидя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трех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54 609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21.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Зеркало поворотное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функций; стойкие значительно выраженные нарушения нейромышечных, скелетных и связанных с движением (статодинамических) функции вследствие нарушений функций сердечно-сосудистой системы, дыхательной системы, пищеварительной, эндокринной и метаболизма, системы крови и иммунной системы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функций; стойкие значительно выраженные нарушения нейромышечных, скелетных и связанных с движением (статодинамических) функции вследствие нарушений функций сердечно-сосудистой системы, дыхательной системы, пищеварительной, эндокринной и метаболизма, системы крови и иммунной системы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13 822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22.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Дистанционный привод для открывания окон "Умное окно"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функций; стойкие значительно выраженные нарушения нейромышечных, скелетных и связанных с движением (статодинамических) функции вследствие нарушений функций сердечно-сосудистой системы, дыхательной системы, пищеварительной, эндокринной и метаболизма, системы крови и иммунной системы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выраженные, значительно выраженные нарушения нейромышечных, скелетных и связанных с движением (статодинамических) функций; стойкие значительно выраженные нарушения нейромышечных, скелетных и связанных с движением (статодинамических) функции вследствие нарушений функций сердечно-сосудистой системы, дыхательной системы, пищеварительной, эндокринной и метаболизма, системы крови и иммунной системы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противопоказаний нет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пяти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9 048</w:t>
            </w:r>
          </w:p>
        </w:tc>
      </w:tr>
      <w:tr>
        <w:trPr/>
        <w:tc>
          <w:tcPr>
            <w:tcW w:w="1524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tabs>
                <w:tab w:val="clear" w:pos="720"/>
              </w:tabs>
              <w:bidi w:val="0"/>
              <w:spacing w:before="108" w:after="108"/>
              <w:rPr/>
            </w:pPr>
            <w:r>
              <w:rPr>
                <w:sz w:val="22"/>
              </w:rPr>
              <w:t>ВСПОМОГАТЕЛЬНЫЕ СРЕДСТВА ДЛЯ ДОМОВОДСТВА И УЧАСТИЯ В ВЕДЕНИИ ДОМАШНЕГО ХОЗЯЙСТВА</w:t>
            </w:r>
          </w:p>
        </w:tc>
      </w:tr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23.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Адаптивный набор посуды для инвалидов - ложка/вилка с толстой ручкой, ремешком, утяжелителем, тарелка на присоске, бортик на тарелку, поильник</w:t>
            </w:r>
          </w:p>
        </w:tc>
        <w:tc>
          <w:tcPr>
            <w:tcW w:w="2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умеренные, выраженные нарушения нейромышечных, скелетных и связанных с движением (статодинамических) функций верхних конечностей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</w:t>
            </w:r>
          </w:p>
        </w:tc>
        <w:tc>
          <w:tcPr>
            <w:tcW w:w="2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 умеренные, выраженные нарушения нейромышечных, скелетных и связанных с движением (статодинамических) функций верхних конечностей вследствие: заболеваний, последствий травм и деформаций верхних конечностей; последствий травм и заболеваний центральной, периферической нервной системы при владении навыками пользования столовыми приборами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стойкие, значительно выраженные нарушения психических функций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</w:tabs>
              <w:bidi w:val="0"/>
              <w:jc w:val="start"/>
              <w:rPr/>
            </w:pPr>
            <w:r>
              <w:rPr>
                <w:sz w:val="22"/>
              </w:rPr>
              <w:t>не менее четырех лет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2"/>
              </w:rPr>
              <w:t>26 030</w:t>
            </w:r>
          </w:p>
        </w:tc>
      </w:tr>
    </w:tbl>
    <w:p>
      <w:pPr>
        <w:pStyle w:val="Normal"/>
        <w:bidi w:val="0"/>
        <w:rPr>
          <w:rStyle w:val="Style15"/>
        </w:rPr>
      </w:pPr>
      <w:r>
        <w:rPr/>
      </w:r>
    </w:p>
    <w:sectPr>
      <w:headerReference w:type="even" r:id="rId2"/>
      <w:headerReference w:type="first" r:id="rId3"/>
      <w:footerReference w:type="even" r:id="rId4"/>
      <w:footerReference w:type="first" r:id="rId5"/>
      <w:type w:val="nextPage"/>
      <w:pgSz w:orient="landscape" w:w="16798" w:h="11906"/>
      <w:pgMar w:left="800" w:right="800" w:gutter="0" w:header="0" w:top="720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false"/>
      <w:bidi w:val="0"/>
      <w:spacing w:before="0" w:after="0"/>
      <w:ind w:firstLine="720"/>
      <w:jc w:val="both"/>
    </w:pPr>
    <w:rPr>
      <w:rFonts w:ascii="Times New Roman CYR" w:hAnsi="Times New Roman CYR" w:eastAsia="Symbol" w:cs="Wingding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uppressAutoHyphens w:val="false"/>
      <w:spacing w:before="108" w:after="108"/>
      <w:ind w:hanging="0"/>
      <w:jc w:val="center"/>
    </w:pPr>
    <w:rPr>
      <w:rFonts w:ascii="Times New Roman CYR" w:hAnsi="Times New Roman CYR"/>
      <w:b/>
      <w:color w:val="26282F"/>
      <w:sz w:val="24"/>
    </w:rPr>
  </w:style>
  <w:style w:type="character" w:styleId="Style13">
    <w:name w:val="Гипертекстовая ссылка"/>
    <w:basedOn w:val="Style14"/>
    <w:qFormat/>
    <w:rPr>
      <w:b w:val="false"/>
      <w:color w:val="106BBE"/>
    </w:rPr>
  </w:style>
  <w:style w:type="character" w:styleId="Style14">
    <w:name w:val="Цветовое выделение"/>
    <w:qFormat/>
    <w:rPr>
      <w:b/>
      <w:color w:val="26282F"/>
    </w:rPr>
  </w:style>
  <w:style w:type="character" w:styleId="Style15">
    <w:name w:val="Цветовое выделение для Текст"/>
    <w:qFormat/>
    <w:rPr>
      <w:rFonts w:ascii="Times New Roman CYR" w:hAnsi="Times New Roman CYR"/>
      <w:sz w:val="24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Комментарий"/>
    <w:basedOn w:val="Style19"/>
    <w:next w:val="Normal"/>
    <w:qFormat/>
    <w:pPr>
      <w:suppressAutoHyphens w:val="false"/>
      <w:spacing w:before="75" w:after="0"/>
      <w:ind w:hanging="0" w:start="170" w:end="0"/>
      <w:jc w:val="both"/>
    </w:pPr>
    <w:rPr>
      <w:rFonts w:ascii="Times New Roman CYR" w:hAnsi="Times New Roman CYR"/>
      <w:color w:val="353842"/>
      <w:sz w:val="24"/>
    </w:rPr>
  </w:style>
  <w:style w:type="paragraph" w:styleId="Style19">
    <w:name w:val="Текст (справка)"/>
    <w:basedOn w:val="Normal"/>
    <w:next w:val="Normal"/>
    <w:qFormat/>
    <w:pPr>
      <w:suppressAutoHyphens w:val="false"/>
      <w:spacing w:before="0" w:after="0"/>
      <w:ind w:hanging="0" w:start="170" w:end="170"/>
      <w:jc w:val="start"/>
    </w:pPr>
    <w:rPr>
      <w:rFonts w:ascii="Times New Roman CYR" w:hAnsi="Times New Roman CYR"/>
      <w:sz w:val="24"/>
    </w:rPr>
  </w:style>
  <w:style w:type="paragraph" w:styleId="Style20">
    <w:name w:val="Прижатый влево"/>
    <w:basedOn w:val="Normal"/>
    <w:next w:val="Normal"/>
    <w:qFormat/>
    <w:pPr>
      <w:suppressAutoHyphens w:val="false"/>
      <w:spacing w:before="0" w:after="0"/>
      <w:ind w:hanging="0"/>
      <w:jc w:val="start"/>
    </w:pPr>
    <w:rPr>
      <w:rFonts w:ascii="Times New Roman CYR" w:hAnsi="Times New Roman CYR"/>
      <w:sz w:val="24"/>
    </w:rPr>
  </w:style>
  <w:style w:type="paragraph" w:styleId="Style21">
    <w:name w:val="Нормальный (таблица)"/>
    <w:basedOn w:val="Normal"/>
    <w:next w:val="Normal"/>
    <w:qFormat/>
    <w:pPr>
      <w:suppressAutoHyphens w:val="false"/>
      <w:spacing w:before="0" w:after="0"/>
      <w:ind w:hanging="0"/>
      <w:jc w:val="both"/>
    </w:pPr>
    <w:rPr>
      <w:rFonts w:ascii="Times New Roman CYR" w:hAnsi="Times New Roman CYR"/>
      <w:sz w:val="24"/>
    </w:rPr>
  </w:style>
  <w:style w:type="paragraph" w:styleId="Style22">
    <w:name w:val="Информация о версии"/>
    <w:basedOn w:val="Style18"/>
    <w:next w:val="Normal"/>
    <w:qFormat/>
    <w:pPr>
      <w:suppressAutoHyphens w:val="false"/>
      <w:spacing w:before="75" w:after="0"/>
      <w:ind w:hanging="0" w:start="170"/>
      <w:jc w:val="both"/>
    </w:pPr>
    <w:rPr>
      <w:rFonts w:ascii="Times New Roman CYR" w:hAnsi="Times New Roman CYR"/>
      <w:i/>
      <w:color w:val="353842"/>
      <w:sz w:val="24"/>
    </w:rPr>
  </w:style>
  <w:style w:type="paragraph" w:styleId="Style23">
    <w:name w:val="Информация об изменениях"/>
    <w:basedOn w:val="Style24"/>
    <w:next w:val="Normal"/>
    <w:qFormat/>
    <w:pPr>
      <w:suppressAutoHyphens w:val="false"/>
      <w:spacing w:before="180" w:after="0"/>
      <w:ind w:hanging="0" w:start="360" w:end="360"/>
      <w:jc w:val="both"/>
    </w:pPr>
    <w:rPr>
      <w:rFonts w:ascii="Times New Roman CYR" w:hAnsi="Times New Roman CYR"/>
      <w:color w:val="353842"/>
      <w:sz w:val="20"/>
    </w:rPr>
  </w:style>
  <w:style w:type="paragraph" w:styleId="Style24">
    <w:name w:val="Текст информации об изменениях"/>
    <w:basedOn w:val="Normal"/>
    <w:next w:val="Normal"/>
    <w:qFormat/>
    <w:pPr>
      <w:suppressAutoHyphens w:val="false"/>
      <w:spacing w:before="0" w:after="0"/>
      <w:ind w:firstLine="720"/>
      <w:jc w:val="both"/>
    </w:pPr>
    <w:rPr>
      <w:rFonts w:ascii="Times New Roman CYR" w:hAnsi="Times New Roman CYR"/>
      <w:color w:val="353842"/>
      <w:sz w:val="20"/>
    </w:rPr>
  </w:style>
  <w:style w:type="paragraph" w:styleId="Style25">
    <w:name w:val="Подзаголовок для информации об изменениях"/>
    <w:basedOn w:val="Style24"/>
    <w:next w:val="Normal"/>
    <w:qFormat/>
    <w:pPr>
      <w:suppressAutoHyphens w:val="false"/>
      <w:spacing w:before="0" w:after="0"/>
      <w:ind w:firstLine="720"/>
      <w:jc w:val="both"/>
    </w:pPr>
    <w:rPr>
      <w:rFonts w:ascii="Times New Roman CYR" w:hAnsi="Times New Roman CYR"/>
      <w:b/>
      <w:color w:val="353842"/>
      <w:sz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next w:val="Normal"/>
    <w:pPr>
      <w:suppressAutoHyphens w:val="false"/>
      <w:spacing w:before="0" w:after="0"/>
      <w:ind w:hanging="0"/>
      <w:jc w:val="center"/>
    </w:pPr>
    <w:rPr>
      <w:rFonts w:ascii="Times New Roman" w:hAnsi="Times New Roman"/>
      <w:sz w:val="20"/>
    </w:rPr>
  </w:style>
  <w:style w:type="paragraph" w:styleId="Footer">
    <w:name w:val="footer"/>
    <w:basedOn w:val="Normal"/>
    <w:next w:val="Normal"/>
    <w:pPr>
      <w:suppressAutoHyphens w:val="false"/>
      <w:spacing w:before="0" w:after="0"/>
      <w:ind w:hanging="0"/>
      <w:jc w:val="start"/>
    </w:pPr>
    <w:rPr>
      <w:rFonts w:ascii="Times New Roman" w:hAnsi="Times New Roman"/>
      <w:sz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LibreOffice/25.2.3.2$Linux_X86_64 LibreOffice_project/520$Build-2</Application>
  <AppVersion>15.0000</AppVersion>
  <Pages>9</Pages>
  <Words>2295</Words>
  <Characters>17221</Characters>
  <CharactersWithSpaces>19286</CharactersWithSpaces>
  <Paragraphs>231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dc:language>ru-RU</dc:language>
  <cp:lastModifiedBy/>
  <dcterms:modified xsi:type="dcterms:W3CDTF">2026-08-12T12:46:46Z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